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國立高雄科技大學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小型壓力容器（滅菌鍋）定期自動檢查表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9" w:right="-127" w:hanging="5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檢查週期：每年                                               製表單位：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環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安衛中心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9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適用場所資料：</w:t>
      </w: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4320"/>
        <w:gridCol w:w="1200"/>
        <w:gridCol w:w="2520"/>
        <w:tblGridChange w:id="0">
          <w:tblGrid>
            <w:gridCol w:w="1800"/>
            <w:gridCol w:w="4320"/>
            <w:gridCol w:w="1200"/>
            <w:gridCol w:w="25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" w:right="-694" w:hanging="91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系(所、中心)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4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" w:right="-694" w:hanging="91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場所名稱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4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9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檢查結果：設備編號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檢查日期：    年   月   日</w:t>
      </w:r>
    </w:p>
    <w:tbl>
      <w:tblPr>
        <w:tblStyle w:val="Table2"/>
        <w:tblW w:w="9781.0" w:type="dxa"/>
        <w:jc w:val="left"/>
        <w:tblInd w:w="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67"/>
        <w:gridCol w:w="1120"/>
        <w:gridCol w:w="3720"/>
        <w:gridCol w:w="1200"/>
        <w:gridCol w:w="1615"/>
        <w:gridCol w:w="1559"/>
        <w:tblGridChange w:id="0">
          <w:tblGrid>
            <w:gridCol w:w="567"/>
            <w:gridCol w:w="1120"/>
            <w:gridCol w:w="3720"/>
            <w:gridCol w:w="1200"/>
            <w:gridCol w:w="1615"/>
            <w:gridCol w:w="1559"/>
          </w:tblGrid>
        </w:tblGridChange>
      </w:tblGrid>
      <w:tr>
        <w:trPr>
          <w:trHeight w:val="39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項次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檢查項目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     查     基      準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檢查方法</w:t>
            </w:r>
          </w:p>
        </w:tc>
        <w:tc>
          <w:tcPr>
            <w:gridSpan w:val="2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檢查結果</w:t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正常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異常</w:t>
            </w:r>
          </w:p>
        </w:tc>
      </w:tr>
      <w:tr>
        <w:trPr>
          <w:trHeight w:val="358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容器本體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1.本體無損傷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目視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2.蓋版螺栓完整無鬆動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手動測試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3.表面油漆無脫落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目視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4.鍋蓋外觀是否變形、裂縫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目視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5.門墊圈有無洩漏現象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運轉測試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6.上鎖時鍋蓋是否無法開啟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手動測試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自動控制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裝   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1.各自動裝置應保持堪用功能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操作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附屬裝置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1.管線無損傷或洩漏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運轉測試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27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2.各旋閥無損傷或洩漏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目視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3.保溫（冷）設施無缺失或脫落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4.壓力表正常堪用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運轉測試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5.溫度表正常堪用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6.溫度控制裝置運作正常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運轉測試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7.已明顯標示最高使用壓力與溫度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目視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8.進出口是否正常進氣排氣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目視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9.電源線是否良好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目視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作業環境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1.設備附屬之欄杆或平台應牢固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手動測試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2.通道無阻塞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1.耐熱手套是否損傷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目視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危害分析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檢查發現危害，分析危害因素：有下列危害因素請打勾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　□火災　□爆炸　□毒氣洩漏　□化學品洩漏　□感電　□窒息　□物體飛落、掉落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　□跌倒、滑倒　□其他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　　　　　　　　　</w:t>
            </w:r>
          </w:p>
        </w:tc>
      </w:tr>
      <w:tr>
        <w:trPr>
          <w:trHeight w:val="986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評估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危害風險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0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評估危害風險(嚴重性及可能性分析) ：有下列危害風險請打勾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0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□高風險等級（不能接受風險）：應立即檢討現有保護措施之完整性且儘速進行工程、管理改善方案或作業管制等。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0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□中風險等級（暫時接受風險）：視需要採取更有效保護措施或適當作業程序及加強安全措施。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0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□低風險等級（可接受風險）：採取現有方式監控。</w:t>
            </w:r>
          </w:p>
        </w:tc>
      </w:tr>
      <w:tr>
        <w:trPr>
          <w:trHeight w:val="1286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改善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措施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依檢查及風險評估結果採取改善措施之內容：改善情形、預定完成日期及實際完成日期請簡要說明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改善情形：□已改善完成□部分完成□未完成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改善內容說明：　　　　　　　　　　　　　　　　　　　　　　　　　　　　　　　　　　　　　　　　　　　　　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預定完成日期：　　年　　月　　日；　　　　　　　　　　　　　　　　實際完成日期：　　年　　月　　日</w:t>
            </w:r>
          </w:p>
        </w:tc>
      </w:tr>
      <w:tr>
        <w:trPr>
          <w:trHeight w:val="716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定期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檢討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定期檢討改善措施之合宜性：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□本改善措施已相當合宜且已改善完成。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□本改善措施有需要敬會相關單位改善；敬會單位：　　　　　　　　　　　　　　　　　　</w:t>
            </w:r>
          </w:p>
        </w:tc>
      </w:tr>
      <w:tr>
        <w:trPr>
          <w:trHeight w:val="1335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4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1.依據『職業安全衛生管理辦法』規定辦理，並作記錄保存三年。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4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2.檢查結果正常”ˇ”，異常須送修或改善”×”，無此項目”-”。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4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3.檢查結果異常時應分析危害因素、評估危害風險、依檢查及風險評估結果採取改善措施並定期檢討改善措施之合宜性。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實驗場所負責人簽章：                      檢查人員簽章：</w:t>
          </w:r>
        </w:sdtContent>
      </w:sdt>
      <w:r w:rsidDel="00000000" w:rsidR="00000000" w:rsidRPr="00000000">
        <w:rPr>
          <w:rtl w:val="0"/>
        </w:rPr>
      </w:r>
    </w:p>
    <w:sectPr>
      <w:pgSz w:h="16838" w:w="11906"/>
      <w:pgMar w:bottom="680" w:top="814" w:left="1418" w:right="737" w:header="567" w:footer="340"/>
      <w:pgNumType w:start="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adjustRightInd w:val="0"/>
      <w:spacing w:line="360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adjustRightInd w:val="0"/>
      <w:spacing w:line="360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character" w:styleId="頁碼">
    <w:name w:val="頁碼"/>
    <w:next w:val="頁碼"/>
    <w:autoRedefine w:val="0"/>
    <w:hidden w:val="0"/>
    <w:qFormat w:val="0"/>
    <w:rPr>
      <w:rFonts w:ascii="新細明體" w:eastAsia="新細明體" w:hAnsi="新細明體"/>
      <w:w w:val="100"/>
      <w:position w:val="-1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lZ9NhE9aQJUM6eaTrQ/fARxEg==">AMUW2mUCVSh1BgezXA3R2+UjNGk9TV8m4a+hoxUXx/JSL+WMoE3NKa8a5IhJUrV7oLb5x1BO4k+6HjRslNFXudLLD9PFoigNsGdkkLsrqnAEPoxuT/SO0sRy80EMQIP/V0+7npV8q/CPH+++2O4RbRJvrIxSu0wGk1tsrlOIqQRRTDZrupFZesk=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2018-12-03T08:28:00Z</dcterms:created>
  <dc:creator>鄭英銘</dc:creator>
</cp:coreProperties>
</file>